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pct"/>
        <w:tblLayout w:type="fixed"/>
        <w:tblLook w:val="0400"/>
      </w:tblPr>
      <w:tblGrid>
        <w:gridCol w:w="4535"/>
        <w:gridCol w:w="4536"/>
        <w:tblGridChange w:id="0">
          <w:tblGrid>
            <w:gridCol w:w="4535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d34817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d34817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Marina Tesauro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marinatesauro2@gmal.com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PEC: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marinatesauro2@pec.it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Contrada Pino, SNC-82100 Benevento, Italy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3493285577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9296" cy="1191690"/>
                  <wp:effectExtent b="0" l="0" r="0" t="0"/>
                  <wp:docPr descr="C:\Users\user\Desktop\DOCUMENTI TESI\IMG_20191126_135359.jpg" id="3" name="image3.png"/>
                  <a:graphic>
                    <a:graphicData uri="http://schemas.openxmlformats.org/drawingml/2006/picture">
                      <pic:pic>
                        <pic:nvPicPr>
                          <pic:cNvPr descr="C:\Users\user\Desktop\DOCUMENTI TESI\IMG_20191126_135359.jpg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96" cy="1191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  <a:ext uri="{91240B29-F687-4F45-9708-019B960494DF}"/>
                          <a:ext uri="{53640926-AAD7-44D8-BBD7-CCE9431645EC}"/>
                        </a:extLst>
                      </wps:spPr>
                      <wps:txbx>
                        <w:txbxContent>
                          <w:tbl>
                            <w:tblPr>
                              <w:tblW w:w="28800.0" w:type="dxa"/>
                              <w:jc w:val="center"/>
                              <w:tblCellMar>
                                <w:left w:w="0.0" w:type="dxa"/>
                                <w:right w:w="0.0" w:type="dxa"/>
                              </w:tblCellMar>
                              <w:tblLook w:val="04A0"/>
                            </w:tblPr>
                            <w:tblGrid>
                              <w:gridCol w:w="28800"/>
                            </w:tblGrid>
                            <w:tr w:rsidR="005D549A">
                              <w:trPr>
                                <w:jc w:val="center"/>
                              </w:trPr>
                              <w:tc>
                                <w:tcPr>
                                  <w:tcW w:w="0.0" w:type="auto"/>
                                  <w:shd w:color="auto" w:fill="f4b29b" w:themeFill="accent1" w:themeFillTint="000066" w:val="clear"/>
                                  <w:vAlign w:val="center"/>
                                </w:tcPr>
                                <w:p w:rsidR="005D549A" w:rsidDel="00000000" w:rsidP="00000000" w:rsidRDefault="005D549A" w:rsidRPr="00000000">
                                  <w:pPr>
                                    <w:pStyle w:val="Nessunaspaziatur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D549A">
                              <w:trPr>
                                <w:jc w:val="center"/>
                              </w:trPr>
                              <w:tc>
                                <w:tcPr>
                                  <w:tcW w:w="0.0" w:type="auto"/>
                                  <w:shd w:color="auto" w:fill="d34817" w:themeFill="accent1" w:val="clear"/>
                                  <w:vAlign w:val="center"/>
                                </w:tcPr>
                                <w:p w:rsidR="005D549A" w:rsidDel="00000000" w:rsidP="00000000" w:rsidRDefault="005D549A" w:rsidRPr="00000000">
                                  <w:pPr>
                                    <w:pStyle w:val="Nessunaspaziatur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549A">
                              <w:trPr>
                                <w:jc w:val="center"/>
                              </w:trPr>
                              <w:tc>
                                <w:tcPr>
                                  <w:tcW w:w="0.0" w:type="auto"/>
                                  <w:shd w:color="auto" w:fill="918485" w:themeFill="accent5" w:val="clear"/>
                                  <w:vAlign w:val="center"/>
                                </w:tcPr>
                                <w:p w:rsidR="005D549A" w:rsidDel="00000000" w:rsidP="00000000" w:rsidRDefault="005D549A" w:rsidRPr="00000000">
                                  <w:pPr>
                                    <w:pStyle w:val="Nessunaspaziatur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49A" w:rsidDel="00000000" w:rsidP="00000000" w:rsidRDefault="005D549A" w:rsidRPr="00000000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0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  <w:rtl w:val="0"/>
        </w:rPr>
        <w:t xml:space="preserve">Descrizione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76" w:lineRule="auto"/>
        <w:ind w:left="0" w:right="0" w:firstLine="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OSTETRICA con ottime capacità organizzative, di lavoro di equipe valutando priorità ed esigenze; predisposizione caratteriale a leadership; buone competenze comunicative acquisite durante la mia esperienza lavorativa e personale.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  <w:rtl w:val="0"/>
        </w:rPr>
        <w:t xml:space="preserve">Istruzione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9b2d1f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cc4125"/>
          <w:sz w:val="24"/>
          <w:szCs w:val="24"/>
          <w:rtl w:val="0"/>
        </w:rPr>
        <w:t xml:space="preserve">Dicembre 2019- ad oggi | Corso di Laurea magistrale in scienze infermieristiche e ostetriche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9b2d1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Iscritta presso l’Università degli Studi di Napoli Federico II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  <w:rtl w:val="0"/>
        </w:rPr>
        <w:t xml:space="preserve">Novembre 2019 | Laurea in Ostetricia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Superato in data 15/11/2019, con voti 110/110 E LODE, l'esame di laurea in OSTETRICIA (TITOLO ABILITANTE ALLA PROFESSIONE), L/SNT1 - CLASSE DELLE LAUREE IN PROFESSIONI SANITARIE, INFERMIERISTICHE E PROFESSIONE SANITARIA, presso Università degli Studi di Napoli Federico 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della tesi: "L'influenza del BMI materno sull'esito della preinduzione al travaglio di parto con Dinoprostone: esperienza di un singolo centro".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  <w:rtl w:val="0"/>
        </w:rPr>
        <w:t xml:space="preserve">Luglio 2015 | Diploma di istruzione di secondo grado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Conseguito in data 4/7/2015 con voto 90/100, presso il liceo scientifico G. Rummo, Benevento.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9b2d1f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  <w:rtl w:val="0"/>
        </w:rPr>
        <w:t xml:space="preserve">Esperienze professional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9b2d1f"/>
          <w:sz w:val="28"/>
          <w:szCs w:val="28"/>
          <w:rtl w:val="0"/>
        </w:rPr>
        <w:t xml:space="preserve">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9b2d1f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cc4125"/>
          <w:sz w:val="24"/>
          <w:szCs w:val="24"/>
          <w:rtl w:val="0"/>
        </w:rPr>
        <w:t xml:space="preserve">Dicembre 2019 | Iscrizione all’albo professionale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9b2d1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Iscrizione all’albo professionale delle Ostetriche di Benevento in data 10/12/2019 con il n ° 287.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  <w:rtl w:val="0"/>
        </w:rPr>
        <w:t xml:space="preserve">Gennaio 2017-Ottobre 2019 | Tirocinio Formativo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A.O. S Pio Benevento, Italy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Esperienza nella conduzione di corsi di accompagnamento alla nascita e nella promozione e sostegno all'allattamento al seno; competenze nel supportare l'èquipe medica durante gli interventi chirurgici e ginecologici; conoscenza dei tumori genitali femminili e delle tecniche di prevenzione; abilità nell'individuare possibili fattori di rischio e misure preventive o di emergenza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Tirocinio formativo presso l'A.O. S Pio nelle seguenti Unità Operative: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Reparto di degenza medica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Ambulatori di ostetricia (gravidanza fisiologica e a rischio)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Operatoria ostetrico-ginecologica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Reparto di Neonatologia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Travaglio e Parto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Pronto Soccorso Ostetrico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Fisiopatologia della Riproduzione Umana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Anestesia e Rianimazione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Medicina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  <w:rtl w:val="0"/>
        </w:rPr>
        <w:t xml:space="preserve">2017- ad oggi | Partecipazione ad iniziative di formazione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Attestato di partecipazione al convegno LE STOMIE E INCONTINENZA "Approccio infermieristico, Ostetrico e Riabilitativo", organizzato da A.I.Stom. , Pietrelcina, 5 Aprile 2019, in qualità di uditore.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Attestato di partecipazione al congresso "Campus Cuore 2019", Napoli Hotel Excelsior, 12-13 Aprile 2019, in qualità di uditore.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Attestato di partecipazione al meeting annuale AGUI "Sicurezza delle cure e donna", Villa Mondragone Frascati, 11 Giugno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Attestato di partecipazione al congresso " Improving Quality Care in perinatologia e pediatria", San Marco dei Cavoti, 6-8 Dicembre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d34817"/>
          <w:sz w:val="24"/>
          <w:szCs w:val="24"/>
          <w:u w:val="none"/>
          <w:shd w:fill="auto" w:val="clear"/>
          <w:vertAlign w:val="baseline"/>
          <w:rtl w:val="0"/>
        </w:rPr>
        <w:t xml:space="preserve">Novembre 2019- ad oggi| Operatore ludico per 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Corso di operatore ludico d'infanzia di 200 ore totali. Questa figura professionale può operare in asilo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nido, centri i gioco e comunità infantili, cercando di sviluppare le potenzialità di crescita e le abilità inespresse del bambino. L’operatore ludico per l’infanzia, stimola le capacità dei bambini in età prescolare e scolare, realizza interventi di animazione e gestisce i rapporti tra struttura e famiglia.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40" w:before="320" w:line="240" w:lineRule="auto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9b2d1f"/>
          <w:sz w:val="28"/>
          <w:szCs w:val="28"/>
          <w:rtl w:val="0"/>
        </w:rPr>
        <w:t xml:space="preserve">Esperienze professionali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d34817"/>
          <w:sz w:val="24"/>
          <w:szCs w:val="24"/>
          <w:rtl w:val="0"/>
        </w:rPr>
        <w:t xml:space="preserve">Ottobre 2020-a Dicembre 2020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Impiegata presso Azienda Sanitaria Locale di Benevento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d3481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d34817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d34817"/>
          <w:sz w:val="24"/>
          <w:szCs w:val="24"/>
          <w:rtl w:val="0"/>
        </w:rPr>
        <w:t xml:space="preserve">Gennaio 2021- ad oggi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Ostetrica presso Centro Delta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  <w:rtl w:val="0"/>
        </w:rPr>
        <w:t xml:space="preserve">Competenze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Patente di guida B,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automunita;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Certificazione Ei-pass;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Brevetto di equitazione rilasciato da FISE;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Licenza porto d'armi per uso sportivo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32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1"/>
          <w:color w:val="9b2d1f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9b2d1f"/>
          <w:sz w:val="28"/>
          <w:szCs w:val="28"/>
          <w:u w:val="none"/>
          <w:shd w:fill="auto" w:val="clear"/>
          <w:vertAlign w:val="baseline"/>
          <w:rtl w:val="0"/>
        </w:rPr>
        <w:t xml:space="preserve">Lingue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INGLESE: Buono. Certificazione A2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FRANCESE: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ITALIANO: Madrelingua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Autorizzo il trattamento dei miei dati personali nel CV ai sensi dell’art.13 del Decreto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legislativo 30 giugno 2003 n 196 “Codice in materia di protezione dei dati personali” 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dellart 13 del GDPR ( Regolamento UE 2016/679).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Dichiarazione sostitutiva di certificazione e dell’atto di notorietà ai sensi dell’art. 46 e 47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 degli artt 75 e 76 del DPR 445/2000 e successive modificazioni ed integrazioni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sottoscritta MARINA TESAURO, sotto la propria responsabilità, ai sensi e per gli effetti degli articoli 46 e 47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DPR 445/2000, consapevole di quanto prescritto dagli articoli 75 e 76 del medesimo DPR, rispettivamente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sulla responsabilità penale prevista per chi rende false dichiarazioni e sulla decadenza dei benefici eventualmente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conseguenti al provvedimento emanato sulla base di dichiarazioni non veritiere.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le informazioni riportate nel seguente curriculum vitae corrispondono a verità.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9" w:w="11907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re Baskerville"/>
  <w:font w:name="Libre Frankli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0</wp:posOffset>
              </wp:positionV>
              <wp:extent cx="520700" cy="520700"/>
              <wp:effectExtent b="3175" l="0" r="3175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/>
                        <a:ext uri="{53640926-AAD7-44D8-BBD7-CCE9431645EC}"/>
                      </a:extLst>
                    </wps:spPr>
                    <wps:txbx>
                      <w:txbxContent>
                        <w:p w:rsidR="005D549A" w:rsidDel="00000000" w:rsidP="00000000" w:rsidRDefault="005D549A" w:rsidRPr="00000000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anchorCtr="0" anchor="ctr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0</wp:posOffset>
              </wp:positionV>
              <wp:extent cx="523875" cy="5238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875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9e351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9e351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Baskerville" w:cs="Libre Baskerville" w:eastAsia="Libre Baskerville" w:hAnsi="Libre Baskerville"/>
        <w:sz w:val="22"/>
        <w:szCs w:val="22"/>
        <w:lang w:val="it-IT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40" w:lineRule="auto"/>
    </w:pPr>
    <w:rPr>
      <w:rFonts w:ascii="Libre Franklin" w:cs="Libre Franklin" w:eastAsia="Libre Franklin" w:hAnsi="Libre Franklin"/>
      <w:b w:val="1"/>
      <w:color w:val="9e3511"/>
      <w:sz w:val="28"/>
      <w:szCs w:val="28"/>
    </w:rPr>
  </w:style>
  <w:style w:type="paragraph" w:styleId="Heading2">
    <w:name w:val="heading 2"/>
    <w:basedOn w:val="Normal"/>
    <w:next w:val="Normal"/>
    <w:pPr>
      <w:spacing w:after="40" w:before="240" w:line="240" w:lineRule="auto"/>
    </w:pPr>
    <w:rPr>
      <w:rFonts w:ascii="Libre Franklin" w:cs="Libre Franklin" w:eastAsia="Libre Franklin" w:hAnsi="Libre Franklin"/>
      <w:b w:val="1"/>
      <w:color w:val="9e3511"/>
      <w:sz w:val="24"/>
      <w:szCs w:val="24"/>
    </w:rPr>
  </w:style>
  <w:style w:type="paragraph" w:styleId="Heading3">
    <w:name w:val="heading 3"/>
    <w:basedOn w:val="Normal"/>
    <w:next w:val="Normal"/>
    <w:pPr>
      <w:spacing w:after="40" w:before="200" w:line="240" w:lineRule="auto"/>
    </w:pPr>
    <w:rPr>
      <w:rFonts w:ascii="Libre Franklin" w:cs="Libre Franklin" w:eastAsia="Libre Franklin" w:hAnsi="Libre Franklin"/>
      <w:b w:val="1"/>
      <w:color w:val="d34817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rFonts w:ascii="Libre Franklin" w:cs="Libre Franklin" w:eastAsia="Libre Franklin" w:hAnsi="Libre Franklin"/>
      <w:b w:val="1"/>
      <w:color w:val="7b6b4d"/>
      <w:sz w:val="24"/>
      <w:szCs w:val="24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Libre Franklin" w:cs="Libre Franklin" w:eastAsia="Libre Franklin" w:hAnsi="Libre Franklin"/>
      <w:b w:val="1"/>
      <w:i w:val="1"/>
      <w:color w:val="7b6b4d"/>
    </w:rPr>
  </w:style>
  <w:style w:type="paragraph" w:styleId="Heading6">
    <w:name w:val="heading 6"/>
    <w:basedOn w:val="Normal"/>
    <w:next w:val="Normal"/>
    <w:pPr>
      <w:spacing w:after="0" w:before="200" w:lineRule="auto"/>
    </w:pPr>
    <w:rPr>
      <w:rFonts w:ascii="Libre Franklin" w:cs="Libre Franklin" w:eastAsia="Libre Franklin" w:hAnsi="Libre Franklin"/>
      <w:color w:val="524733"/>
      <w:sz w:val="24"/>
      <w:szCs w:val="24"/>
    </w:rPr>
  </w:style>
  <w:style w:type="paragraph" w:styleId="Title">
    <w:name w:val="Title"/>
    <w:basedOn w:val="Normal"/>
    <w:next w:val="Normal"/>
    <w:pPr>
      <w:pBdr>
        <w:bottom w:color="d34817" w:space="4" w:sz="8" w:val="single"/>
      </w:pBdr>
      <w:spacing w:line="240" w:lineRule="auto"/>
      <w:jc w:val="center"/>
    </w:pPr>
    <w:rPr>
      <w:rFonts w:ascii="Libre Franklin" w:cs="Libre Franklin" w:eastAsia="Libre Franklin" w:hAnsi="Libre Franklin"/>
      <w:b w:val="1"/>
      <w:smallCaps w:val="1"/>
      <w:color w:val="d34817"/>
      <w:sz w:val="48"/>
      <w:szCs w:val="48"/>
    </w:rPr>
  </w:style>
  <w:style w:type="paragraph" w:styleId="Subtitle">
    <w:name w:val="Subtitle"/>
    <w:basedOn w:val="Normal"/>
    <w:next w:val="Normal"/>
    <w:pPr>
      <w:spacing w:after="480" w:line="240" w:lineRule="auto"/>
      <w:jc w:val="center"/>
    </w:pPr>
    <w:rPr>
      <w:rFonts w:ascii="Libre Franklin" w:cs="Libre Franklin" w:eastAsia="Libre Franklin" w:hAnsi="Libre Franklin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